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5F" w:rsidRDefault="00A20B5F" w:rsidP="00A20B5F">
      <w:pPr>
        <w:pStyle w:val="Default"/>
        <w:rPr>
          <w:color w:val="auto"/>
        </w:rPr>
      </w:pPr>
    </w:p>
    <w:p w:rsidR="00A20B5F" w:rsidRPr="009B7329" w:rsidRDefault="00A20B5F" w:rsidP="00A20B5F">
      <w:pPr>
        <w:pStyle w:val="Default"/>
        <w:jc w:val="center"/>
        <w:rPr>
          <w:rFonts w:ascii="標楷體" w:eastAsia="標楷體" w:cs="標楷體"/>
          <w:color w:val="auto"/>
          <w:sz w:val="32"/>
          <w:szCs w:val="32"/>
        </w:rPr>
      </w:pPr>
      <w:r w:rsidRPr="009B7329">
        <w:rPr>
          <w:rFonts w:ascii="標楷體" w:eastAsia="標楷體" w:cs="標楷體" w:hint="eastAsia"/>
          <w:color w:val="auto"/>
          <w:sz w:val="32"/>
          <w:szCs w:val="32"/>
        </w:rPr>
        <w:t>嘉義文財殿「第</w:t>
      </w:r>
      <w:r w:rsidRPr="009B7329">
        <w:rPr>
          <w:rFonts w:ascii="標楷體" w:eastAsia="標楷體" w:cs="標楷體" w:hint="eastAsia"/>
          <w:color w:val="auto"/>
          <w:sz w:val="32"/>
          <w:szCs w:val="32"/>
          <w:lang w:eastAsia="zh-TW"/>
        </w:rPr>
        <w:t>八</w:t>
      </w:r>
      <w:r w:rsidRPr="009B7329">
        <w:rPr>
          <w:rFonts w:ascii="標楷體" w:eastAsia="標楷體" w:cs="標楷體" w:hint="eastAsia"/>
          <w:color w:val="auto"/>
          <w:sz w:val="32"/>
          <w:szCs w:val="32"/>
        </w:rPr>
        <w:t>屆財神盃」</w:t>
      </w:r>
    </w:p>
    <w:p w:rsidR="00A20B5F" w:rsidRPr="009B7329" w:rsidRDefault="00A20B5F" w:rsidP="00A20B5F">
      <w:pPr>
        <w:pStyle w:val="Default"/>
        <w:jc w:val="center"/>
        <w:rPr>
          <w:rFonts w:ascii="標楷體" w:eastAsia="標楷體" w:cs="標楷體"/>
          <w:color w:val="auto"/>
          <w:sz w:val="32"/>
          <w:szCs w:val="32"/>
        </w:rPr>
      </w:pPr>
      <w:r w:rsidRPr="009B7329">
        <w:rPr>
          <w:rFonts w:ascii="標楷體" w:eastAsia="標楷體" w:cs="標楷體" w:hint="eastAsia"/>
          <w:color w:val="auto"/>
          <w:sz w:val="32"/>
          <w:szCs w:val="32"/>
        </w:rPr>
        <w:t>嘉義縣市國民中小學音樂暨民俗技藝競賽辦法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壹、目的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慶祝嘉義文財殿文財尊神千秋暨入火安座三十</w:t>
      </w:r>
      <w:r w:rsidR="00A612DD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四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週年紀念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鼓勵學生發展多元才藝，培養團隊精神，開發學習潛能。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以宗教力量提倡藝文風氣，用藝術美化心靈，創造祥和社會。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貳、指導單位：嘉義市政府、嘉義縣政府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參、主辦單位：嘉義文財殿管理委員會</w:t>
      </w:r>
    </w:p>
    <w:p w:rsidR="00A20B5F" w:rsidRPr="009B7329" w:rsidRDefault="00A20B5F" w:rsidP="00E70192">
      <w:pPr>
        <w:pStyle w:val="Default"/>
        <w:spacing w:line="480" w:lineRule="exact"/>
        <w:ind w:left="566" w:hangingChars="202" w:hanging="566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肆、協辦單位：嘉義市政府教育處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、嘉義縣政府教育處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、嘉義市政府文化局、文財殿附屬文通慈善會</w:t>
      </w:r>
    </w:p>
    <w:p w:rsidR="00A20B5F" w:rsidRPr="009B7329" w:rsidRDefault="00A20B5F" w:rsidP="00E70192">
      <w:pPr>
        <w:pStyle w:val="Default"/>
        <w:spacing w:line="480" w:lineRule="exact"/>
        <w:ind w:left="566" w:hangingChars="202" w:hanging="566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伍、比賽資格：嘉義縣市各國民小學皆可組隊報名參加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；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國民中學限參加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國中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管樂組，每隊人數以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至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人為限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陸、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</w:t>
      </w:r>
      <w:r w:rsidR="00196A55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組別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A20B5F" w:rsidRPr="009B7329" w:rsidRDefault="002A1073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分為以下七組，每校不限報名隊數，主辦單位得依報名表內容增減或調整組別，並得依據參賽單位之演出特性，調整參賽組別，參賽單位不得異議。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國小西樂甲組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管樂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合奏、管弦樂合奏</w:t>
      </w:r>
    </w:p>
    <w:p w:rsidR="00E70192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國小西樂乙組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弦樂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、直笛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A20B5F" w:rsidRPr="009B7329" w:rsidRDefault="00A20B5F" w:rsidP="008F1356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國小國樂組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：國樂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、絲竹樂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E70192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國小鼓樂組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各種中西鼓樂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E70192" w:rsidRPr="009B7329" w:rsidRDefault="00A20B5F" w:rsidP="00E70192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五、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國小傳統技藝組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含舞龍、舞獅、宋江陣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、戲曲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及各種民俗技藝</w:t>
      </w:r>
    </w:p>
    <w:p w:rsidR="00A20B5F" w:rsidRPr="009B7329" w:rsidRDefault="00A20B5F" w:rsidP="00E70192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六、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國小舞蹈組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各類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團體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舞蹈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七、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國中管樂組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以上各組總參加隊數超過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時，其中任一單項超過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6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，則主辦單位有權增設一組比賽項目。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柒、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比賽日期：</w:t>
      </w:r>
      <w:r w:rsidRPr="009B7329">
        <w:rPr>
          <w:rFonts w:ascii="標楷體" w:eastAsia="標楷體" w:cs="標楷體"/>
          <w:color w:val="auto"/>
          <w:sz w:val="28"/>
          <w:szCs w:val="28"/>
        </w:rPr>
        <w:t>108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月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4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日（星期六、日），賽程另行公布於文財殿網頁（</w:t>
      </w:r>
      <w:r w:rsidRPr="009B7329">
        <w:rPr>
          <w:rFonts w:ascii="標楷體" w:eastAsia="標楷體" w:cs="標楷體"/>
          <w:color w:val="auto"/>
          <w:sz w:val="28"/>
          <w:szCs w:val="28"/>
        </w:rPr>
        <w:t>http://www.cywtd.org.tw/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），請自行上網查閱，主辦單位不再通知。</w:t>
      </w:r>
    </w:p>
    <w:p w:rsidR="00B70DEC" w:rsidRPr="009B7329" w:rsidRDefault="00A20B5F" w:rsidP="00A20B5F">
      <w:pPr>
        <w:pStyle w:val="Default"/>
        <w:snapToGrid w:val="0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比賽地點：</w:t>
      </w:r>
    </w:p>
    <w:p w:rsidR="00B70DEC" w:rsidRPr="009B7329" w:rsidRDefault="00B70DEC" w:rsidP="00A20B5F">
      <w:pPr>
        <w:pStyle w:val="Default"/>
        <w:snapToGrid w:val="0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lastRenderedPageBreak/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嘉義文財殿前廣場（嘉義市林森東路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470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巷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67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號）。</w:t>
      </w:r>
    </w:p>
    <w:p w:rsidR="00A20B5F" w:rsidRPr="009B7329" w:rsidRDefault="00B70DEC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比賽位置在文財殿廣場的競賽舞台，寬度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36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台尺，深度</w:t>
      </w:r>
      <w:r w:rsidR="00C61D7E" w:rsidRPr="009B7329">
        <w:rPr>
          <w:rFonts w:ascii="標楷體" w:eastAsia="標楷體" w:cs="標楷體"/>
          <w:color w:val="auto"/>
          <w:sz w:val="28"/>
          <w:szCs w:val="28"/>
        </w:rPr>
        <w:t>3</w:t>
      </w:r>
      <w:r w:rsidR="00C61D7E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台尺，請自行於賽前勘查場地範圍，不得要求增加競賽區範圍。比賽場地將搭設舞台，舞台地板材質為不織布，進行奔跑跳躍時容易滑動，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請自行評估動作是否安全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。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舞台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  <w:lang w:eastAsia="zh-TW"/>
        </w:rPr>
        <w:t>左右兩側雖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有護欄，請務必指導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各隊伍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  <w:lang w:eastAsia="zh-TW"/>
        </w:rPr>
        <w:t>並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提醒學生注意安全。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玖、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交通補助費：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參賽隊伍由主辦單位補助參賽交通費用，以校為單位計算。管樂組每隊補助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6000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元，其餘各組嘉義市學校每隊補助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2,500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</w:t>
      </w:r>
      <w:r w:rsidRPr="009B7329">
        <w:rPr>
          <w:rFonts w:ascii="標楷體" w:eastAsia="標楷體" w:cs="標楷體"/>
          <w:color w:val="auto"/>
          <w:sz w:val="28"/>
          <w:szCs w:val="28"/>
        </w:rPr>
        <w:t>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車，嘉義縣學校補助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3,500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</w:t>
      </w:r>
      <w:r w:rsidRPr="009B7329">
        <w:rPr>
          <w:rFonts w:ascii="標楷體" w:eastAsia="標楷體" w:cs="標楷體"/>
          <w:color w:val="auto"/>
          <w:sz w:val="28"/>
          <w:szCs w:val="28"/>
        </w:rPr>
        <w:t>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車，比賽隊伍報到當天須至報到處簽到，並提出交通補助費統一收據。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學校報名同組別兩隊以上者，若報名總人數超過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35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人時，補助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部車輛費用；未超過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35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人者，補助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部車輛。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eastAsia="SimSun"/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主辦單位並於現場贈送參與師生西點餐盒一份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依據報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名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人數分發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含</w:t>
      </w:r>
      <w:r w:rsidR="0025416B" w:rsidRPr="009B7329">
        <w:rPr>
          <w:rFonts w:ascii="標楷體" w:eastAsia="標楷體" w:hAnsi="標楷體" w:cs="標楷體" w:hint="eastAsia"/>
          <w:color w:val="auto"/>
          <w:sz w:val="28"/>
          <w:szCs w:val="28"/>
        </w:rPr>
        <w:t>指導老師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比賽規則：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參賽人數：每隊限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～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人，人數不足或超過者，每一人扣總分</w:t>
      </w:r>
      <w:r w:rsidRPr="009B7329">
        <w:rPr>
          <w:rFonts w:ascii="標楷體" w:eastAsia="標楷體" w:cs="標楷體"/>
          <w:color w:val="auto"/>
          <w:sz w:val="28"/>
          <w:szCs w:val="28"/>
        </w:rPr>
        <w:t>0.1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參賽人員：音樂類</w:t>
      </w:r>
      <w:r w:rsidR="001E161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之指揮得由一名教師擔任。國中管樂組參賽人員必須為國中之在學學生；其餘組別參賽人員須為國民小學在學之學生。遇有參賽隊伍提出書面抗議事件時，主辦單位得要求參賽單位提供參賽人員之在學證明文件。倘若查獲非規定人員上台比賽，取消獲獎資格，追繳獲獎之獎金、獎座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比賽時間：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1.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每隊限時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8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～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分鐘（以比賽音樂或正式動作開始及結束時間為準，不含準備及搬運器材時間）。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2.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時間不足</w:t>
      </w:r>
      <w:r w:rsidRPr="009B7329">
        <w:rPr>
          <w:rFonts w:ascii="標楷體" w:eastAsia="標楷體" w:cs="標楷體"/>
          <w:color w:val="auto"/>
          <w:sz w:val="28"/>
          <w:szCs w:val="28"/>
        </w:rPr>
        <w:t>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分鐘或超過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分鐘，每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秒扣總分</w:t>
      </w:r>
      <w:r w:rsidRPr="009B7329">
        <w:rPr>
          <w:rFonts w:ascii="標楷體" w:eastAsia="標楷體" w:cs="標楷體"/>
          <w:color w:val="auto"/>
          <w:sz w:val="28"/>
          <w:szCs w:val="28"/>
        </w:rPr>
        <w:t>0.5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分。主辦單位於計時員桌面設置電腦螢幕計時，請自行控制時間，主辦單位不按鈴。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3.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計時標準：以表演形式開始（依指揮、樂音、調音、鼓聲、動作之起始做判斷）作為計算基準，整體演出形式終了為結束之計算基準。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lastRenderedPageBreak/>
        <w:t xml:space="preserve">4.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為求賽程流暢，各隊進場及佈置時間不得超過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分鐘為原則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比賽內容：</w:t>
      </w:r>
    </w:p>
    <w:p w:rsidR="00A20B5F" w:rsidRPr="009B7329" w:rsidRDefault="001E1616" w:rsidP="00A20B5F">
      <w:pPr>
        <w:pStyle w:val="Default"/>
        <w:snapToGrid w:val="0"/>
        <w:spacing w:line="480" w:lineRule="exact"/>
        <w:ind w:leftChars="200" w:left="480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各隊自訂主題，惟不得違反社會善良風俗，或使用危險道具及爆裂物。凡有拋接人員等危險之動作，一律由參賽單位自行準備合格安全軟墊，否則禁止比賽，並自負意外責任。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壹拾壹、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評分標準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一、國小西樂甲組、國小西樂乙組、國小國樂組、國小鼓樂組、國中管樂組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1.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音樂基本詮釋及技巧：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含速度、節奏，段落表現及樂曲整體性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2.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音樂性：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樂風及情緒掌握，曲式表現之正統性，樂句處理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3.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團隊精神：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含團隊默契、秩序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二、傳統技藝組、舞蹈組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1.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表演內容：</w:t>
      </w:r>
      <w:r w:rsidRPr="009B7329">
        <w:rPr>
          <w:rFonts w:ascii="標楷體" w:eastAsia="標楷體" w:cs="標楷體"/>
          <w:color w:val="auto"/>
          <w:sz w:val="28"/>
          <w:szCs w:val="28"/>
        </w:rPr>
        <w:t>40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％（含隊形變化、創意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2.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音樂及節奏配合：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3.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動作熟練與技巧：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4.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團隊精神：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含團隊默契、服裝、道具、秩序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壹拾貳、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報名方式：</w:t>
      </w:r>
    </w:p>
    <w:p w:rsidR="00A20B5F" w:rsidRPr="009B7329" w:rsidRDefault="00A612DD" w:rsidP="00A612DD">
      <w:pPr>
        <w:pStyle w:val="Default"/>
        <w:snapToGrid w:val="0"/>
        <w:spacing w:line="480" w:lineRule="exact"/>
        <w:ind w:leftChars="200" w:left="480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一、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即日起至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108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4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月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4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日止，以學校為單位，填寫報名表，傳真或以電子郵件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Verdana" w:eastAsia="標楷體" w:hAnsi="Verdana" w:cs="Verdana"/>
          <w:color w:val="auto"/>
          <w:sz w:val="28"/>
          <w:szCs w:val="28"/>
        </w:rPr>
        <w:t>cywtd@hotmail.com</w:t>
      </w:r>
      <w:r w:rsidR="00A20B5F" w:rsidRPr="009B7329">
        <w:rPr>
          <w:rFonts w:ascii="標楷體" w:eastAsia="標楷體" w:hAnsi="Verdana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傳送至嘉義文財殿，並請於傳送後電話確認。電話：</w:t>
      </w:r>
      <w:r w:rsidR="00A20B5F" w:rsidRPr="009B7329">
        <w:rPr>
          <w:rFonts w:ascii="標楷體" w:eastAsia="標楷體" w:hAnsi="Verdana" w:cs="標楷體"/>
          <w:color w:val="auto"/>
          <w:sz w:val="28"/>
          <w:szCs w:val="28"/>
        </w:rPr>
        <w:t>05-2766028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，傳真電話：</w:t>
      </w:r>
      <w:r w:rsidR="00A20B5F" w:rsidRPr="009B7329">
        <w:rPr>
          <w:rFonts w:ascii="標楷體" w:eastAsia="標楷體" w:hAnsi="Verdana" w:cs="標楷體"/>
          <w:color w:val="auto"/>
          <w:sz w:val="28"/>
          <w:szCs w:val="28"/>
        </w:rPr>
        <w:t>05-2784889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。</w:t>
      </w:r>
    </w:p>
    <w:p w:rsidR="00A20B5F" w:rsidRPr="009B7329" w:rsidRDefault="00A612DD" w:rsidP="00A612DD">
      <w:pPr>
        <w:pStyle w:val="Default"/>
        <w:snapToGrid w:val="0"/>
        <w:spacing w:line="480" w:lineRule="exact"/>
        <w:ind w:leftChars="200" w:left="480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二、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參加</w:t>
      </w:r>
      <w:proofErr w:type="gramStart"/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團隊均以學校</w:t>
      </w:r>
      <w:proofErr w:type="gramEnd"/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為單位報名參賽，不接受非國民中小學之團體報名。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壹拾參、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評審辦法：</w:t>
      </w:r>
    </w:p>
    <w:p w:rsidR="00A20B5F" w:rsidRPr="009B7329" w:rsidRDefault="00A20B5F" w:rsidP="00A612DD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由主辦單位聘請專家等組成評審委員會評審之。比賽後提供比賽隊伍之評審評語，請有需要的隊伍於公布成績後，派員向文財殿辦公室索取</w:t>
      </w:r>
      <w:r w:rsidR="00A612DD"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，限由參賽學校代表索取該隊評語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。</w:t>
      </w:r>
    </w:p>
    <w:p w:rsidR="00A20B5F" w:rsidRPr="009B7329" w:rsidRDefault="00A20B5F" w:rsidP="00A612DD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比賽結果將於比賽當天下午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>19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：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>00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前公佈於嘉義文財殿網站</w:t>
      </w:r>
      <w:r w:rsidR="00A612DD"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color w:val="auto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壹拾肆、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獎勵方式：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獎勵內容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第一名：每組乙隊，獎金貳萬元，獎牌乙座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lastRenderedPageBreak/>
        <w:t>第二名：每組乙隊，獎金壹萬伍仟元，獎牌乙座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第三名：每組乙隊，獎金壹萬元，獎牌乙座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優勝：獎金伍仟元，獎牌乙座。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獎勵額度：</w:t>
      </w:r>
    </w:p>
    <w:p w:rsidR="00A20B5F" w:rsidRPr="009B7329" w:rsidRDefault="00691029" w:rsidP="00691029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該組參賽隊伍未達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隊者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，頒發前二名獎項，不頒發優勝獎項；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7-9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者，頒發前三名獎項及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2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隊優勝獎項；參賽隊伍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隊以上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者，頒發前三名獎項及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3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隊優勝獎項。各隊演出平均成績未達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70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分者，不給予獎勵，亦不列入名次。</w:t>
      </w:r>
    </w:p>
    <w:p w:rsidR="00A20B5F" w:rsidRPr="009B7329" w:rsidRDefault="00691029" w:rsidP="00691029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若前三名隊伍有並列成績情況，則遞減次一獎項隊數，以符合前項獎勵額度之總隊數為原則。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壹拾伍、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頒獎典禮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頒獎典禮時間配合主辦單位相關活動，擇期於文財殿廣場舉行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預計於</w:t>
      </w:r>
      <w:r w:rsidRPr="009B7329">
        <w:rPr>
          <w:rFonts w:ascii="標楷體" w:eastAsia="標楷體" w:cs="標楷體"/>
          <w:color w:val="auto"/>
          <w:sz w:val="28"/>
          <w:szCs w:val="28"/>
        </w:rPr>
        <w:t>108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Pr="009B7329">
        <w:rPr>
          <w:rFonts w:ascii="標楷體" w:eastAsia="標楷體" w:cs="標楷體"/>
          <w:color w:val="auto"/>
          <w:sz w:val="28"/>
          <w:szCs w:val="28"/>
        </w:rPr>
        <w:t>6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月，另行通知獲獎單位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。請獲獎單位校長或指導教師到場受獎。未派員到場之參賽單位，取消獎金及得獎資格。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獲得第一名或有特殊表現的隊伍，將另行邀請參加今年度之文財殿相關慶典演出，其演出日期另行通知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約於農曆八、九月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。屆時請各隊準備</w:t>
      </w:r>
      <w:r w:rsidRPr="009B7329">
        <w:rPr>
          <w:rFonts w:ascii="標楷體" w:eastAsia="標楷體" w:cs="標楷體"/>
          <w:color w:val="auto"/>
          <w:sz w:val="28"/>
          <w:szCs w:val="28"/>
        </w:rPr>
        <w:t>15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分鐘以上的表演節目，演出車馬費由文財殿補助。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壹拾陸、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注意事項：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參賽單位報名完成後，視同願意遵守本簡章各項規定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報名表上各項資料應據實填寫，報名手續完成後，不得要求變更。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參賽隊伍排定之賽程不得要求更改。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各參賽隊伍應於比賽前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分鐘到達會場向競賽組報到，若經主辦單位唱名三次未出場比賽者，以棄權論。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五、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主辦單位儘可能提供音響設備及座椅，不一定能完全符合參賽單位需求。其他樂器、譜架及各項器材，請參賽單位自行準備。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六、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除音樂類比賽指揮外，其餘各類參賽單位一律不得由指導老師在舞台上以口令、手勢或其他方式進行動作指導。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七、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參賽單位若於比賽過程需撥放音樂伴奏，請於當天比賽開始前</w:t>
      </w:r>
      <w:r w:rsidRPr="009B7329">
        <w:rPr>
          <w:rFonts w:ascii="標楷體" w:eastAsia="標楷體" w:cs="標楷體"/>
          <w:color w:val="auto"/>
          <w:sz w:val="28"/>
          <w:szCs w:val="28"/>
        </w:rPr>
        <w:t>15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分鐘，將音樂檔案存於</w:t>
      </w:r>
      <w:r w:rsidRPr="009B7329">
        <w:rPr>
          <w:rFonts w:ascii="標楷體" w:eastAsia="標楷體" w:cs="標楷體"/>
          <w:color w:val="auto"/>
          <w:sz w:val="28"/>
          <w:szCs w:val="28"/>
        </w:rPr>
        <w:t>CD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或</w:t>
      </w:r>
      <w:r w:rsidRPr="009B7329">
        <w:rPr>
          <w:rFonts w:ascii="標楷體" w:eastAsia="標楷體" w:cs="標楷體"/>
          <w:color w:val="auto"/>
          <w:sz w:val="28"/>
          <w:szCs w:val="28"/>
        </w:rPr>
        <w:t>USB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儲存裝置送交大會音響工作人員，並派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lastRenderedPageBreak/>
        <w:t>員在場協助。所使用之音樂，應自行申請音樂使用權。若有違反著作權法之情形，由參賽單位自行負責。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八、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參賽單位須同意主辦單位擁有比賽過程之音樂、影像及影片之使用權，參賽單位及個人均不得異議。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九、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請參賽單位於比賽前，派代表進入文財殿參拜，以示對文財尊神之敬意。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本辦法未盡事宜，主辦單位得隨時修訂並公佈於嘉義文財殿網站。</w:t>
      </w:r>
    </w:p>
    <w:p w:rsidR="0025416B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本案聯絡人：嘉義文財殿管理委員會總幹事：林天河。</w:t>
      </w:r>
    </w:p>
    <w:p w:rsidR="00A20B5F" w:rsidRPr="009B7329" w:rsidRDefault="0025416B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t xml:space="preserve">       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報名連絡人:何文</w:t>
      </w:r>
      <w:proofErr w:type="gramStart"/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朠</w:t>
      </w:r>
      <w:proofErr w:type="gramEnd"/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，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電話：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05-2766028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、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05-2784885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，傳真：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05-2784889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比賽手冊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秩序冊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，均提前寄發給比賽隊伍二份，比賽當天不提供。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若因天候或其他不可抗力之因素延遲或取消比賽，大會均將消息公布在文財殿網頁，請自行參閱。</w:t>
      </w:r>
      <w:r w:rsidRPr="009B7329">
        <w:rPr>
          <w:rFonts w:ascii="標楷體" w:eastAsia="標楷體" w:cs="標楷體"/>
          <w:color w:val="auto"/>
          <w:sz w:val="28"/>
          <w:szCs w:val="28"/>
        </w:rPr>
        <w:t>(http://www.cywtd.org.tw/)</w:t>
      </w:r>
    </w:p>
    <w:p w:rsidR="00A753F3" w:rsidRPr="009B7329" w:rsidRDefault="00A753F3">
      <w:pPr>
        <w:widowControl/>
        <w:rPr>
          <w:rFonts w:ascii="標楷體" w:eastAsia="標楷體" w:hAnsi="標楷體" w:cs="標楷體"/>
          <w:sz w:val="28"/>
          <w:szCs w:val="28"/>
          <w:lang w:eastAsia="zh-CN"/>
        </w:rPr>
      </w:pPr>
      <w:r w:rsidRPr="009B7329">
        <w:rPr>
          <w:rFonts w:ascii="標楷體" w:eastAsia="標楷體" w:hAnsi="標楷體" w:cs="標楷體"/>
          <w:sz w:val="28"/>
          <w:szCs w:val="28"/>
          <w:lang w:eastAsia="zh-CN"/>
        </w:rPr>
        <w:br w:type="page"/>
      </w:r>
      <w:bookmarkStart w:id="0" w:name="_GoBack"/>
      <w:bookmarkEnd w:id="0"/>
    </w:p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lastRenderedPageBreak/>
        <w:t>附件：</w:t>
      </w:r>
    </w:p>
    <w:p w:rsidR="00A753F3" w:rsidRPr="009B7329" w:rsidRDefault="00A753F3" w:rsidP="00A753F3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嘉義</w:t>
      </w:r>
      <w:proofErr w:type="gramStart"/>
      <w:r w:rsidRPr="009B7329">
        <w:rPr>
          <w:rFonts w:ascii="標楷體" w:eastAsia="標楷體" w:hAnsi="標楷體" w:cs="標楷體" w:hint="eastAsia"/>
          <w:sz w:val="28"/>
          <w:szCs w:val="28"/>
        </w:rPr>
        <w:t>文財殿</w:t>
      </w:r>
      <w:proofErr w:type="gramEnd"/>
      <w:r w:rsidRPr="009B7329">
        <w:rPr>
          <w:rFonts w:ascii="標楷體" w:eastAsia="標楷體" w:hAnsi="標楷體" w:cs="標楷體" w:hint="eastAsia"/>
          <w:sz w:val="28"/>
          <w:szCs w:val="28"/>
        </w:rPr>
        <w:t>「第八屆財神</w:t>
      </w:r>
      <w:proofErr w:type="gramStart"/>
      <w:r w:rsidRPr="009B7329">
        <w:rPr>
          <w:rFonts w:ascii="標楷體" w:eastAsia="標楷體" w:hAnsi="標楷體" w:cs="標楷體" w:hint="eastAsia"/>
          <w:sz w:val="28"/>
          <w:szCs w:val="28"/>
        </w:rPr>
        <w:t>盃</w:t>
      </w:r>
      <w:proofErr w:type="gramEnd"/>
      <w:r w:rsidRPr="009B7329">
        <w:rPr>
          <w:rFonts w:ascii="標楷體" w:eastAsia="標楷體" w:hAnsi="標楷體" w:cs="標楷體" w:hint="eastAsia"/>
          <w:sz w:val="28"/>
          <w:szCs w:val="28"/>
        </w:rPr>
        <w:t>」嘉義縣市國民中小學音樂暨民俗技藝競賽</w:t>
      </w:r>
    </w:p>
    <w:p w:rsidR="00A753F3" w:rsidRPr="009B7329" w:rsidRDefault="00A753F3" w:rsidP="00A753F3">
      <w:pPr>
        <w:pStyle w:val="a3"/>
        <w:tabs>
          <w:tab w:val="left" w:pos="1134"/>
        </w:tabs>
        <w:spacing w:line="480" w:lineRule="exact"/>
        <w:ind w:leftChars="0"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2620"/>
        <w:gridCol w:w="2799"/>
        <w:gridCol w:w="2979"/>
      </w:tblGrid>
      <w:tr w:rsidR="009B7329" w:rsidRPr="009B7329" w:rsidTr="00C40142">
        <w:trPr>
          <w:trHeight w:val="563"/>
        </w:trPr>
        <w:tc>
          <w:tcPr>
            <w:tcW w:w="1444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承辦人: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74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C40142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公務電話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62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48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7329" w:rsidRPr="009B7329" w:rsidTr="00C40142">
        <w:tc>
          <w:tcPr>
            <w:tcW w:w="1444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西樂甲組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西樂乙組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國樂組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鼓樂組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傳統技藝組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舞蹈組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□國中管樂組</w:t>
            </w:r>
          </w:p>
        </w:tc>
        <w:tc>
          <w:tcPr>
            <w:tcW w:w="279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比賽隊名</w:t>
            </w:r>
          </w:p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</w:rPr>
            </w:pPr>
            <w:proofErr w:type="gramStart"/>
            <w:r w:rsidRPr="009B7329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9B7329">
              <w:rPr>
                <w:rFonts w:ascii="標楷體" w:eastAsia="標楷體" w:hAnsi="標楷體" w:cs="標楷體" w:hint="eastAsia"/>
              </w:rPr>
              <w:t>例：</w:t>
            </w:r>
            <w:r w:rsidRPr="009B7329">
              <w:rPr>
                <w:rFonts w:ascii="標楷體" w:eastAsia="標楷體" w:hAnsi="標楷體" w:cs="標楷體"/>
              </w:rPr>
              <w:t>OO</w:t>
            </w:r>
            <w:r w:rsidRPr="009B7329">
              <w:rPr>
                <w:rFonts w:ascii="標楷體" w:eastAsia="標楷體" w:hAnsi="標楷體" w:cs="標楷體" w:hint="eastAsia"/>
              </w:rPr>
              <w:t>國小宋江陣</w:t>
            </w:r>
            <w:proofErr w:type="gramStart"/>
            <w:r w:rsidRPr="009B7329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97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492"/>
        </w:trPr>
        <w:tc>
          <w:tcPr>
            <w:tcW w:w="1444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比賽主題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或曲目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620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 w:val="restart"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指導老師及指揮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(至多填三人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420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16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c>
          <w:tcPr>
            <w:tcW w:w="1444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參賽人數</w:t>
            </w:r>
          </w:p>
        </w:tc>
        <w:tc>
          <w:tcPr>
            <w:tcW w:w="2620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9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預估時間</w:t>
            </w:r>
          </w:p>
        </w:tc>
        <w:tc>
          <w:tcPr>
            <w:tcW w:w="297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秒</w:t>
            </w:r>
          </w:p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</w:rPr>
      </w:pPr>
      <w:r w:rsidRPr="009B7329">
        <w:rPr>
          <w:rFonts w:ascii="標楷體" w:eastAsia="標楷體" w:hAnsi="標楷體" w:cs="標楷體"/>
        </w:rPr>
        <w:t xml:space="preserve">   </w:t>
      </w:r>
      <w:r w:rsidRPr="009B7329">
        <w:rPr>
          <w:rFonts w:ascii="標楷體" w:eastAsia="標楷體" w:hAnsi="標楷體" w:cs="標楷體" w:hint="eastAsia"/>
        </w:rPr>
        <w:t>填妥後，請傳真或以電子郵件</w:t>
      </w:r>
      <w:r w:rsidRPr="009B7329">
        <w:rPr>
          <w:rFonts w:ascii="標楷體" w:eastAsia="標楷體" w:hAnsi="標楷體" w:cs="標楷體"/>
        </w:rPr>
        <w:t>(</w:t>
      </w:r>
      <w:r w:rsidRPr="009B7329">
        <w:rPr>
          <w:rFonts w:ascii="Verdana" w:hAnsi="Verdana" w:cs="Verdana"/>
        </w:rPr>
        <w:t>cywtd@hotmail.com</w:t>
      </w:r>
      <w:r w:rsidRPr="009B7329">
        <w:rPr>
          <w:rFonts w:ascii="標楷體" w:eastAsia="標楷體" w:hAnsi="標楷體" w:cs="標楷體"/>
        </w:rPr>
        <w:t>)</w:t>
      </w:r>
      <w:r w:rsidRPr="009B7329">
        <w:rPr>
          <w:rFonts w:ascii="標楷體" w:eastAsia="標楷體" w:hAnsi="標楷體" w:cs="標楷體" w:hint="eastAsia"/>
        </w:rPr>
        <w:t>傳送至嘉義</w:t>
      </w:r>
      <w:proofErr w:type="gramStart"/>
      <w:r w:rsidRPr="009B7329">
        <w:rPr>
          <w:rFonts w:ascii="標楷體" w:eastAsia="標楷體" w:hAnsi="標楷體" w:cs="標楷體" w:hint="eastAsia"/>
        </w:rPr>
        <w:t>文財殿</w:t>
      </w:r>
      <w:proofErr w:type="gramEnd"/>
      <w:r w:rsidRPr="009B7329">
        <w:rPr>
          <w:rFonts w:ascii="標楷體" w:eastAsia="標楷體" w:hAnsi="標楷體" w:cs="標楷體" w:hint="eastAsia"/>
        </w:rPr>
        <w:t>，並請於傳送後電話確認。電話：</w:t>
      </w:r>
      <w:r w:rsidRPr="009B7329">
        <w:rPr>
          <w:rFonts w:ascii="標楷體" w:eastAsia="標楷體" w:hAnsi="標楷體" w:cs="標楷體"/>
        </w:rPr>
        <w:t>05-2766028</w:t>
      </w:r>
      <w:r w:rsidRPr="009B7329">
        <w:rPr>
          <w:rFonts w:ascii="標楷體" w:eastAsia="標楷體" w:hAnsi="標楷體" w:cs="標楷體" w:hint="eastAsia"/>
        </w:rPr>
        <w:t>，傳真電話：</w:t>
      </w:r>
      <w:r w:rsidRPr="009B7329">
        <w:rPr>
          <w:rFonts w:ascii="標楷體" w:eastAsia="標楷體" w:hAnsi="標楷體" w:cs="標楷體"/>
        </w:rPr>
        <w:t>05-2784889</w:t>
      </w:r>
      <w:r w:rsidRPr="009B7329">
        <w:rPr>
          <w:rFonts w:ascii="標楷體" w:eastAsia="標楷體" w:hAnsi="標楷體" w:cs="標楷體" w:hint="eastAsia"/>
        </w:rPr>
        <w:t>。</w:t>
      </w:r>
    </w:p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SimSun" w:cs="標楷體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承辦人：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   主任：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>校長：</w:t>
      </w:r>
    </w:p>
    <w:sectPr w:rsidR="00A753F3" w:rsidRPr="009B7329" w:rsidSect="00A20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e筶.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F"/>
    <w:rsid w:val="000B6D85"/>
    <w:rsid w:val="00196A55"/>
    <w:rsid w:val="001E1616"/>
    <w:rsid w:val="0025416B"/>
    <w:rsid w:val="002A1073"/>
    <w:rsid w:val="00516108"/>
    <w:rsid w:val="00540339"/>
    <w:rsid w:val="00691029"/>
    <w:rsid w:val="00803F05"/>
    <w:rsid w:val="008F1356"/>
    <w:rsid w:val="009B7329"/>
    <w:rsid w:val="00A20B5F"/>
    <w:rsid w:val="00A612DD"/>
    <w:rsid w:val="00A753F3"/>
    <w:rsid w:val="00B70DEC"/>
    <w:rsid w:val="00C40142"/>
    <w:rsid w:val="00C61D7E"/>
    <w:rsid w:val="00D22ADD"/>
    <w:rsid w:val="00E14756"/>
    <w:rsid w:val="00E70192"/>
    <w:rsid w:val="00E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B8892-AD74-412B-BE52-90B5715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F3"/>
    <w:pPr>
      <w:widowControl w:val="0"/>
    </w:pPr>
    <w:rPr>
      <w:rFonts w:ascii="Calibri" w:eastAsia="新細明體" w:hAnsi="Calibri" w:cs="Calibri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B5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A753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文財神 文財殿</cp:lastModifiedBy>
  <cp:revision>17</cp:revision>
  <cp:lastPrinted>2019-03-12T04:56:00Z</cp:lastPrinted>
  <dcterms:created xsi:type="dcterms:W3CDTF">2019-03-10T16:13:00Z</dcterms:created>
  <dcterms:modified xsi:type="dcterms:W3CDTF">2019-03-12T04:56:00Z</dcterms:modified>
</cp:coreProperties>
</file>